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3AD" w:rsidRDefault="00CD33AD">
      <w:pPr>
        <w:widowControl/>
        <w:spacing w:after="240"/>
        <w:contextualSpacing/>
        <w:jc w:val="right"/>
        <w:rPr>
          <w:rFonts w:ascii="Times New Roman" w:hAnsi="Times New Roman"/>
          <w:sz w:val="20"/>
        </w:rPr>
      </w:pP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ПОЛОЖЕНИЕ</w:t>
      </w: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 проведении II </w:t>
      </w:r>
      <w:proofErr w:type="spellStart"/>
      <w:r>
        <w:rPr>
          <w:rFonts w:ascii="Times New Roman" w:hAnsi="Times New Roman"/>
          <w:b/>
        </w:rPr>
        <w:t>Киберспортивного</w:t>
      </w:r>
      <w:proofErr w:type="spellEnd"/>
      <w:r>
        <w:rPr>
          <w:rFonts w:ascii="Times New Roman" w:hAnsi="Times New Roman"/>
          <w:b/>
        </w:rPr>
        <w:t xml:space="preserve"> Турнира по игре «</w:t>
      </w:r>
      <w:proofErr w:type="spellStart"/>
      <w:r>
        <w:rPr>
          <w:rFonts w:ascii="Times New Roman" w:hAnsi="Times New Roman"/>
          <w:b/>
        </w:rPr>
        <w:t>Counter-strike</w:t>
      </w:r>
      <w:proofErr w:type="spellEnd"/>
      <w:r>
        <w:rPr>
          <w:rFonts w:ascii="Times New Roman" w:hAnsi="Times New Roman"/>
          <w:b/>
        </w:rPr>
        <w:t xml:space="preserve"> 2»</w:t>
      </w: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среди образовательных организаций Республики Саха (Якутия)</w:t>
      </w: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proofErr w:type="spellStart"/>
      <w:r>
        <w:rPr>
          <w:rFonts w:ascii="Times New Roman" w:hAnsi="Times New Roman"/>
          <w:b/>
        </w:rPr>
        <w:t>Cyber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СПОрт</w:t>
      </w:r>
      <w:proofErr w:type="spellEnd"/>
      <w:r>
        <w:rPr>
          <w:rFonts w:ascii="Times New Roman" w:hAnsi="Times New Roman"/>
          <w:b/>
        </w:rPr>
        <w:t>»</w:t>
      </w: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:rsidR="00CD33AD" w:rsidRDefault="002623EB">
      <w:pPr>
        <w:numPr>
          <w:ilvl w:val="0"/>
          <w:numId w:val="1"/>
        </w:numPr>
        <w:ind w:hanging="153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Общее положения</w:t>
      </w:r>
    </w:p>
    <w:p w:rsidR="00CD33AD" w:rsidRDefault="002623EB">
      <w:pPr>
        <w:numPr>
          <w:ilvl w:val="1"/>
          <w:numId w:val="1"/>
        </w:numPr>
        <w:ind w:left="0"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Настоящее положение определяет цели, задачи и порядок проведения II </w:t>
      </w:r>
      <w:proofErr w:type="spellStart"/>
      <w:r>
        <w:rPr>
          <w:rFonts w:ascii="Times New Roman" w:hAnsi="Times New Roman"/>
        </w:rPr>
        <w:t>Киберспортивного</w:t>
      </w:r>
      <w:proofErr w:type="spell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Турнира по игре «</w:t>
      </w:r>
      <w:proofErr w:type="spellStart"/>
      <w:r>
        <w:rPr>
          <w:rFonts w:ascii="Times New Roman" w:hAnsi="Times New Roman"/>
        </w:rPr>
        <w:t>Counter-Strike</w:t>
      </w:r>
      <w:proofErr w:type="spellEnd"/>
      <w:r>
        <w:rPr>
          <w:rFonts w:ascii="Times New Roman" w:hAnsi="Times New Roman"/>
        </w:rPr>
        <w:t xml:space="preserve"> 2» среди образовательных организаций Республики Саха (Якутия) «</w:t>
      </w:r>
      <w:proofErr w:type="spellStart"/>
      <w:r>
        <w:rPr>
          <w:rFonts w:ascii="Times New Roman" w:hAnsi="Times New Roman"/>
        </w:rPr>
        <w:t>Cyber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СПОрт</w:t>
      </w:r>
      <w:proofErr w:type="spellEnd"/>
      <w:r>
        <w:rPr>
          <w:rFonts w:ascii="Times New Roman" w:hAnsi="Times New Roman"/>
        </w:rPr>
        <w:t>» (далее – Турнир).</w:t>
      </w:r>
    </w:p>
    <w:p w:rsidR="00CD33AD" w:rsidRDefault="002623EB">
      <w:pPr>
        <w:numPr>
          <w:ilvl w:val="1"/>
          <w:numId w:val="1"/>
        </w:numPr>
        <w:ind w:left="0"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Организатором Турнира выступает ГАУ ДПО РС(Я) «Институт развития профессионального образования» (далее -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).</w:t>
      </w:r>
    </w:p>
    <w:p w:rsidR="00CD33AD" w:rsidRDefault="00CD33AD">
      <w:pPr>
        <w:widowControl/>
        <w:ind w:left="720" w:hanging="153"/>
        <w:contextualSpacing/>
        <w:jc w:val="both"/>
        <w:rPr>
          <w:rFonts w:ascii="Times New Roman" w:hAnsi="Times New Roman"/>
        </w:rPr>
      </w:pPr>
    </w:p>
    <w:p w:rsidR="00CD33AD" w:rsidRDefault="002623EB">
      <w:pPr>
        <w:numPr>
          <w:ilvl w:val="0"/>
          <w:numId w:val="1"/>
        </w:numPr>
        <w:ind w:hanging="153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Цели и задачи турнира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Турнир проводится в целях популяризации развития </w:t>
      </w:r>
      <w:proofErr w:type="spellStart"/>
      <w:r>
        <w:rPr>
          <w:rFonts w:ascii="Times New Roman" w:hAnsi="Times New Roman"/>
        </w:rPr>
        <w:t>киберспорта</w:t>
      </w:r>
      <w:proofErr w:type="spellEnd"/>
      <w:r>
        <w:rPr>
          <w:rFonts w:ascii="Times New Roman" w:hAnsi="Times New Roman"/>
        </w:rPr>
        <w:t>, повышения интереса к данной отрасли среди обучающейся молодежи Республики Саха (Якутия).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Основные задачи Турнира: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создание </w:t>
      </w:r>
      <w:proofErr w:type="spellStart"/>
      <w:r>
        <w:rPr>
          <w:rFonts w:ascii="Times New Roman" w:hAnsi="Times New Roman"/>
        </w:rPr>
        <w:t>киберспортивного</w:t>
      </w:r>
      <w:proofErr w:type="spellEnd"/>
      <w:r>
        <w:rPr>
          <w:rFonts w:ascii="Times New Roman" w:hAnsi="Times New Roman"/>
        </w:rPr>
        <w:t xml:space="preserve"> сообщества среди обучающейся молодежи;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расширение и укрепление дружеских связей среди обучающейся молодёжи;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развитие навыков командного взаимодействия, стратегического мышления, быстроты реакции.</w:t>
      </w:r>
    </w:p>
    <w:p w:rsidR="00CD33AD" w:rsidRDefault="00CD33AD">
      <w:pPr>
        <w:widowControl/>
        <w:ind w:left="567" w:firstLine="567"/>
        <w:contextualSpacing/>
        <w:jc w:val="both"/>
        <w:rPr>
          <w:rFonts w:ascii="Times New Roman" w:hAnsi="Times New Roman"/>
        </w:rPr>
      </w:pPr>
    </w:p>
    <w:p w:rsidR="00CD33AD" w:rsidRDefault="002623EB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проведения и сроки подачи заявок для участия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Турнир проводится в очном формате</w:t>
      </w:r>
      <w:r>
        <w:rPr>
          <w:rFonts w:ascii="Times New Roman" w:hAnsi="Times New Roman"/>
          <w:b/>
        </w:rPr>
        <w:t xml:space="preserve"> с 21 по 22 ноября 2025г.</w:t>
      </w:r>
      <w:r>
        <w:rPr>
          <w:rFonts w:ascii="Times New Roman" w:hAnsi="Times New Roman"/>
        </w:rPr>
        <w:t xml:space="preserve"> на базе компьютерного класса ГАУ ДПО РС (Я) «Институт развития профессионального образования».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Для участия в Турнире командам необходимо подать заявку в электронном виде в срок до </w:t>
      </w:r>
      <w:r>
        <w:rPr>
          <w:rFonts w:ascii="Times New Roman" w:hAnsi="Times New Roman"/>
          <w:b/>
        </w:rPr>
        <w:t>19 ноября 2025 года.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Ссылка на заявку для участия в Турнире по CS 2: </w:t>
      </w:r>
      <w:hyperlink r:id="rId7" w:history="1">
        <w:r>
          <w:rPr>
            <w:rFonts w:ascii="Times New Roman" w:hAnsi="Times New Roman"/>
            <w:color w:val="0000FF" w:themeColor="hyperlink"/>
            <w:u w:val="single"/>
          </w:rPr>
          <w:t>https://forms.yandex.ru/u/68ff0623f47e73c331c6019e</w:t>
        </w:r>
      </w:hyperlink>
      <w:r>
        <w:rPr>
          <w:rFonts w:ascii="Times New Roman" w:hAnsi="Times New Roman"/>
        </w:rPr>
        <w:t xml:space="preserve"> </w:t>
      </w:r>
    </w:p>
    <w:p w:rsidR="00CD33AD" w:rsidRDefault="00CD33AD">
      <w:pPr>
        <w:widowControl/>
        <w:jc w:val="both"/>
        <w:rPr>
          <w:rFonts w:ascii="Times New Roman" w:hAnsi="Times New Roman"/>
        </w:rPr>
      </w:pPr>
    </w:p>
    <w:p w:rsidR="00CD33AD" w:rsidRDefault="002623EB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Участники и условия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Состав команды состоит из 5 человек, в возрасте от 14 лет до 25 лет (возможно допущение 2 дополнительных участников в качестве запасных игроков).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Организационный взнос с команды составляет - 5000 руб.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Организационный взнос перечисляется на расчетный счет Организатора по </w:t>
      </w:r>
      <w:proofErr w:type="spellStart"/>
      <w:r>
        <w:rPr>
          <w:rFonts w:ascii="Times New Roman" w:hAnsi="Times New Roman"/>
        </w:rPr>
        <w:t>Qr</w:t>
      </w:r>
      <w:proofErr w:type="spellEnd"/>
      <w:r>
        <w:rPr>
          <w:rFonts w:ascii="Times New Roman" w:hAnsi="Times New Roman"/>
        </w:rPr>
        <w:t xml:space="preserve">-коду согласно договору Оферты в приложении №1 к настоящему положению Турнира.  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Не допускается использование любых модификаций.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4.5. В рамках финала, в случае отсутствия у команды запасного игрока, команда обязана вступить в бой в неполном составе. Ответственность за недобросовестный подбор состава участников команды целиком и полностью несет капитан.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4.6. Участникам Турнира допускается использование своих периферийных устройств (мышь, клавиатура, наушники, коврик для мыши).</w:t>
      </w:r>
    </w:p>
    <w:p w:rsidR="00CD33AD" w:rsidRDefault="00CD33AD">
      <w:pPr>
        <w:widowControl/>
        <w:ind w:firstLine="567"/>
        <w:contextualSpacing/>
        <w:jc w:val="both"/>
        <w:rPr>
          <w:rFonts w:ascii="Times New Roman" w:hAnsi="Times New Roman"/>
        </w:rPr>
      </w:pPr>
    </w:p>
    <w:p w:rsidR="00CD33AD" w:rsidRDefault="002623EB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Судейство Турнира во время квалификаций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 xml:space="preserve"> - лицо, контролирующее проведение Турнира, обеспечивающий соблюдение правил игры.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5.2  Старт</w:t>
      </w:r>
      <w:proofErr w:type="gramEnd"/>
      <w:r>
        <w:rPr>
          <w:rFonts w:ascii="Times New Roman" w:hAnsi="Times New Roman"/>
        </w:rPr>
        <w:t xml:space="preserve"> встречи и старт каждой игры (если встреча состоит из нескольких игр) дает Организатор. Спортсмены покидают свои места только после фиксирования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ом результатов встречи.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 Решения </w:t>
      </w:r>
      <w:r>
        <w:rPr>
          <w:rFonts w:ascii="Times New Roman" w:hAnsi="Times New Roman"/>
          <w:color w:val="333333"/>
          <w:highlight w:val="white"/>
        </w:rPr>
        <w:t>Организатора</w:t>
      </w:r>
      <w:r>
        <w:rPr>
          <w:rFonts w:ascii="Times New Roman" w:hAnsi="Times New Roman"/>
        </w:rPr>
        <w:t xml:space="preserve"> по фактам, связанными с игрой, являются окончательными.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5.4 Решение о дисквалификации принимает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5.5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 xml:space="preserve"> оставляет за собой право отменить или изменить правила Турнира: в случаях обмана, технических неполадок или каких-либо других обстоятельств.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5.6 Любое нарушение в действиях игрока, зафиксированное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ом, ведет к предупреждению. Следующее после первого предупреждения нарушение ведет к немедленной дисквалификации.</w:t>
      </w:r>
    </w:p>
    <w:p w:rsidR="00CD33AD" w:rsidRDefault="00CD33AD">
      <w:pPr>
        <w:widowControl/>
        <w:ind w:firstLine="567"/>
        <w:contextualSpacing/>
        <w:jc w:val="both"/>
        <w:rPr>
          <w:rFonts w:ascii="Times New Roman" w:hAnsi="Times New Roman"/>
        </w:rPr>
      </w:pPr>
    </w:p>
    <w:p w:rsidR="00CD33AD" w:rsidRDefault="002623EB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Регламент Турнира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Основные положения: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Турнир проводится в формате 5x5;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 участию допускаются команды, внесшие взнос, полностью и корректно заполнившие заявку на участие в Турнире;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участники Турнира обязаны соблюдать законы РФ, придерживаться общепринятых норм поведения, проявлять уважительное отношение к Организатору, зрителям, представителям прессы, а также к другим участникам соревнований;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участники Турнира обязаны соблюдать принципы спортивного поведения и честной игры;</w:t>
      </w:r>
    </w:p>
    <w:p w:rsidR="00CD33AD" w:rsidRDefault="002623EB">
      <w:pPr>
        <w:widowControl/>
        <w:ind w:firstLine="42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участникам Турнира запрещается использовать любое программное обеспечение, влияющие на внутри-игровую механику, в том числе предназначенное для изменения внутри-игровых параметров в целях предоставления преимущества себе или создания препятствий для нормального хода матча своему </w:t>
      </w:r>
      <w:proofErr w:type="gramStart"/>
      <w:r>
        <w:rPr>
          <w:rFonts w:ascii="Times New Roman" w:hAnsi="Times New Roman"/>
        </w:rPr>
        <w:t>оппоненту;</w:t>
      </w:r>
      <w:r>
        <w:rPr>
          <w:rFonts w:ascii="Times New Roman" w:hAnsi="Times New Roman"/>
        </w:rPr>
        <w:br/>
        <w:t xml:space="preserve">   </w:t>
      </w:r>
      <w:proofErr w:type="gramEnd"/>
      <w:r>
        <w:rPr>
          <w:rFonts w:ascii="Times New Roman" w:hAnsi="Times New Roman"/>
        </w:rPr>
        <w:t xml:space="preserve">       Команда подлежит дисквалификации за следующие нарушения:</w:t>
      </w:r>
    </w:p>
    <w:p w:rsidR="00CD33AD" w:rsidRDefault="002623EB">
      <w:pPr>
        <w:widowControl/>
        <w:ind w:firstLine="42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курение сигарет любого типа (обычных, электронных, </w:t>
      </w:r>
      <w:proofErr w:type="spellStart"/>
      <w:r>
        <w:rPr>
          <w:rFonts w:ascii="Times New Roman" w:hAnsi="Times New Roman"/>
        </w:rPr>
        <w:t>вейпов</w:t>
      </w:r>
      <w:proofErr w:type="spellEnd"/>
      <w:r>
        <w:rPr>
          <w:rFonts w:ascii="Times New Roman" w:hAnsi="Times New Roman"/>
        </w:rPr>
        <w:t>);</w:t>
      </w:r>
    </w:p>
    <w:p w:rsidR="00CD33AD" w:rsidRDefault="002623EB">
      <w:pPr>
        <w:widowControl/>
        <w:ind w:firstLine="425"/>
        <w:rPr>
          <w:rFonts w:ascii="Times New Roman" w:hAnsi="Times New Roman"/>
        </w:rPr>
      </w:pPr>
      <w:r>
        <w:rPr>
          <w:rFonts w:ascii="Times New Roman" w:hAnsi="Times New Roman"/>
        </w:rPr>
        <w:t>- употребление алкоголя и энергетических напитков;</w:t>
      </w:r>
    </w:p>
    <w:p w:rsidR="00CD33AD" w:rsidRDefault="002623EB">
      <w:pPr>
        <w:widowControl/>
        <w:ind w:firstLine="425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проявление неспортивного поведения во время соревнований.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 Изменения в командных заявках.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Любые изменения в командных заявках должны быть предварительно одобрены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ом соревнования.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список возможных изменений входят: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добавление или замена игроков;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изменение названия команды;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 качестве замены могут выступать только игроки, указанные в заявке при регистрации;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добавлять участников в заявку после начала соревнований запрещено.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 Формирование состава: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капитан имеет право формировать состав команды из игроков, указанных в заявке, минимум за 1 час до начала матча;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все замены должны проводиться между матчами. Замены игроков во время матча запрещены.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 Порядок проведения матчей.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Все матчи Турнира должны начинаться согласно расписанию. Любые изменения должны быть согласованы и одобрены </w:t>
      </w:r>
      <w:r>
        <w:rPr>
          <w:rFonts w:ascii="Times New Roman" w:hAnsi="Times New Roman"/>
          <w:color w:val="333333"/>
          <w:highlight w:val="white"/>
        </w:rPr>
        <w:t>организатор</w:t>
      </w:r>
      <w:r>
        <w:rPr>
          <w:rFonts w:ascii="Times New Roman" w:hAnsi="Times New Roman"/>
        </w:rPr>
        <w:t>ом соревнований.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Все игроки и команды обязаны присутствовать на сервере и быть готовыми к игре не позднее чем за 15 минут до начала матча.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 Судейство.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 задержку матча более чем на 15 минут участнику может быть присуждено техническое поражение в матче;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саботирование матчей может повлечь применение к нарушителю санкций вплоть до дисквалификации.</w:t>
      </w:r>
    </w:p>
    <w:p w:rsidR="00CD33AD" w:rsidRDefault="002623EB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Награждение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По итогам Турнира определяются следующие призовые места: 1 место, 2 место, 3 место.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7.2. Каждой команде вручается сертификат об участии в Турнире.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 Команды, занявшие призовые места, награждаются памятными подарками от Организатора.</w:t>
      </w:r>
    </w:p>
    <w:p w:rsidR="00CD33AD" w:rsidRDefault="00CD33AD">
      <w:pPr>
        <w:widowControl/>
        <w:ind w:firstLine="567"/>
        <w:contextualSpacing/>
        <w:jc w:val="both"/>
        <w:rPr>
          <w:rFonts w:ascii="Times New Roman" w:hAnsi="Times New Roman"/>
        </w:rPr>
      </w:pPr>
    </w:p>
    <w:p w:rsidR="00CD33AD" w:rsidRDefault="002623EB">
      <w:pPr>
        <w:numPr>
          <w:ilvl w:val="0"/>
          <w:numId w:val="2"/>
        </w:numPr>
        <w:ind w:left="0"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Дополнительные положения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8.1. Организатор вправе вносить изменение в Положение.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 Принимая участие в Турнире, участники соглашаются с тем, что их имена и фамилии могут быть использованы публично, без дополнительного согласия участников и без уплаты им какого-либо дополнительного вознаграждения. Организатор оставляет за собой право использовать фото и видеоматериалы, созданные во время проведения Турнира с целью популяризации </w:t>
      </w:r>
      <w:proofErr w:type="spellStart"/>
      <w:r>
        <w:rPr>
          <w:rFonts w:ascii="Times New Roman" w:hAnsi="Times New Roman"/>
        </w:rPr>
        <w:t>киберспорта</w:t>
      </w:r>
      <w:proofErr w:type="spellEnd"/>
      <w:r>
        <w:rPr>
          <w:rFonts w:ascii="Times New Roman" w:hAnsi="Times New Roman"/>
        </w:rPr>
        <w:t xml:space="preserve"> - путем размещения на веб-сайте организатора, хранения и использования в печатной и другой рекламной продукции.</w:t>
      </w: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:rsidR="00CD33AD" w:rsidRDefault="002623EB">
      <w:pPr>
        <w:numPr>
          <w:ilvl w:val="0"/>
          <w:numId w:val="2"/>
        </w:numPr>
        <w:ind w:hanging="153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Контактная информация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  <w:shd w:val="clear" w:color="auto" w:fill="FFD821"/>
        </w:rPr>
      </w:pPr>
      <w:r>
        <w:rPr>
          <w:rFonts w:ascii="Times New Roman" w:hAnsi="Times New Roman"/>
        </w:rPr>
        <w:t>9.1. Кафедра профессионального воспитания и социальной активности молодежи ГАУ ДПО РС (Я) «Институт развития профессионального образования», г. Якутск, ул. Крупской 13, контактный телефон: 89141083349– Антонов Петр Валерьевич, 89143696562 – Лебедев Александр Петрович.</w:t>
      </w:r>
    </w:p>
    <w:p w:rsidR="00CD33AD" w:rsidRDefault="00CD33AD">
      <w:pPr>
        <w:widowControl/>
        <w:ind w:firstLine="567"/>
        <w:contextualSpacing/>
        <w:rPr>
          <w:rFonts w:ascii="Times New Roman" w:hAnsi="Times New Roman"/>
        </w:rPr>
      </w:pP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:rsidR="00CD33AD" w:rsidRDefault="00CD33AD">
      <w:pPr>
        <w:widowControl/>
        <w:ind w:firstLine="567"/>
        <w:contextualSpacing/>
        <w:rPr>
          <w:rFonts w:ascii="Times New Roman" w:hAnsi="Times New Roman"/>
          <w:b/>
        </w:rPr>
      </w:pPr>
    </w:p>
    <w:p w:rsidR="00CD33AD" w:rsidRDefault="00CD33AD">
      <w:pPr>
        <w:widowControl/>
        <w:contextualSpacing/>
        <w:rPr>
          <w:rFonts w:ascii="Times New Roman" w:hAnsi="Times New Roman"/>
          <w:b/>
        </w:rPr>
      </w:pPr>
    </w:p>
    <w:p w:rsidR="00CD33AD" w:rsidRDefault="00CD33AD">
      <w:pPr>
        <w:widowControl/>
        <w:ind w:firstLine="567"/>
        <w:contextualSpacing/>
        <w:rPr>
          <w:rFonts w:ascii="Times New Roman" w:hAnsi="Times New Roman"/>
          <w:b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CD33AD" w:rsidRDefault="00CD33AD">
      <w:pPr>
        <w:widowControl/>
        <w:ind w:left="5664" w:firstLine="567"/>
        <w:contextualSpacing/>
        <w:jc w:val="right"/>
        <w:rPr>
          <w:rFonts w:ascii="Times New Roman" w:hAnsi="Times New Roman"/>
          <w:i/>
        </w:rPr>
      </w:pPr>
    </w:p>
    <w:p w:rsidR="00D028D8" w:rsidRDefault="00D028D8">
      <w:pPr>
        <w:widowControl/>
        <w:ind w:left="4955" w:firstLine="567"/>
        <w:contextualSpacing/>
        <w:jc w:val="right"/>
        <w:rPr>
          <w:rFonts w:ascii="Times New Roman" w:hAnsi="Times New Roman"/>
          <w:i/>
        </w:rPr>
      </w:pPr>
    </w:p>
    <w:p w:rsidR="00D028D8" w:rsidRDefault="00D028D8">
      <w:pPr>
        <w:widowControl/>
        <w:ind w:left="4955" w:firstLine="567"/>
        <w:contextualSpacing/>
        <w:jc w:val="right"/>
        <w:rPr>
          <w:rFonts w:ascii="Times New Roman" w:hAnsi="Times New Roman"/>
          <w:i/>
        </w:rPr>
      </w:pPr>
    </w:p>
    <w:p w:rsidR="00D028D8" w:rsidRDefault="00D028D8">
      <w:pPr>
        <w:widowControl/>
        <w:ind w:left="4955" w:firstLine="567"/>
        <w:contextualSpacing/>
        <w:jc w:val="right"/>
        <w:rPr>
          <w:rFonts w:ascii="Times New Roman" w:hAnsi="Times New Roman"/>
          <w:i/>
        </w:rPr>
      </w:pPr>
    </w:p>
    <w:p w:rsidR="00D028D8" w:rsidRDefault="00D028D8">
      <w:pPr>
        <w:widowControl/>
        <w:ind w:left="4955" w:firstLine="567"/>
        <w:contextualSpacing/>
        <w:jc w:val="right"/>
        <w:rPr>
          <w:rFonts w:ascii="Times New Roman" w:hAnsi="Times New Roman"/>
          <w:i/>
        </w:rPr>
      </w:pPr>
    </w:p>
    <w:p w:rsidR="00D028D8" w:rsidRDefault="00D028D8">
      <w:pPr>
        <w:widowControl/>
        <w:ind w:left="4955" w:firstLine="567"/>
        <w:contextualSpacing/>
        <w:jc w:val="right"/>
        <w:rPr>
          <w:rFonts w:ascii="Times New Roman" w:hAnsi="Times New Roman"/>
          <w:i/>
        </w:rPr>
      </w:pPr>
    </w:p>
    <w:p w:rsidR="00D028D8" w:rsidRDefault="00D028D8">
      <w:pPr>
        <w:widowControl/>
        <w:ind w:left="4955" w:firstLine="567"/>
        <w:contextualSpacing/>
        <w:jc w:val="right"/>
        <w:rPr>
          <w:rFonts w:ascii="Times New Roman" w:hAnsi="Times New Roman"/>
          <w:i/>
        </w:rPr>
      </w:pPr>
    </w:p>
    <w:p w:rsidR="00CD33AD" w:rsidRDefault="002623EB">
      <w:pPr>
        <w:widowControl/>
        <w:ind w:left="4955" w:firstLine="567"/>
        <w:contextualSpacing/>
        <w:jc w:val="right"/>
        <w:rPr>
          <w:rFonts w:ascii="Times New Roman" w:hAnsi="Times New Roman"/>
          <w:i/>
        </w:rPr>
      </w:pPr>
      <w:bookmarkStart w:id="0" w:name="_GoBack"/>
      <w:bookmarkEnd w:id="0"/>
      <w:r>
        <w:rPr>
          <w:rFonts w:ascii="Times New Roman" w:hAnsi="Times New Roman"/>
          <w:i/>
        </w:rPr>
        <w:lastRenderedPageBreak/>
        <w:t xml:space="preserve">Приложение к положению </w:t>
      </w: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ДОГОВОР-ОФЕРТА</w:t>
      </w: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уплаты взносов</w:t>
      </w: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CD33AD">
        <w:trPr>
          <w:jc w:val="center"/>
        </w:trPr>
        <w:tc>
          <w:tcPr>
            <w:tcW w:w="4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3AD" w:rsidRDefault="002623EB">
            <w:pPr>
              <w:widowControl/>
              <w:ind w:firstLine="567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г. Якутск</w:t>
            </w:r>
          </w:p>
        </w:tc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3AD" w:rsidRDefault="002623EB">
            <w:pPr>
              <w:widowControl/>
              <w:ind w:firstLine="567"/>
              <w:contextualSpacing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«____» _________2025 года</w:t>
            </w:r>
          </w:p>
        </w:tc>
      </w:tr>
    </w:tbl>
    <w:p w:rsidR="00CD33AD" w:rsidRDefault="00CD33AD">
      <w:pPr>
        <w:widowControl/>
        <w:ind w:firstLine="567"/>
        <w:contextualSpacing/>
        <w:jc w:val="both"/>
        <w:rPr>
          <w:rFonts w:ascii="Times New Roman" w:hAnsi="Times New Roman"/>
          <w:b/>
        </w:rPr>
      </w:pPr>
    </w:p>
    <w:p w:rsidR="00CD33AD" w:rsidRDefault="00CD33AD">
      <w:pPr>
        <w:widowControl/>
        <w:ind w:firstLine="567"/>
        <w:contextualSpacing/>
        <w:jc w:val="both"/>
        <w:rPr>
          <w:rFonts w:ascii="Times New Roman" w:hAnsi="Times New Roman"/>
          <w:b/>
        </w:rPr>
      </w:pPr>
    </w:p>
    <w:p w:rsidR="00CD33AD" w:rsidRDefault="002623EB">
      <w:pPr>
        <w:numPr>
          <w:ilvl w:val="0"/>
          <w:numId w:val="3"/>
        </w:numPr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Общие положения</w:t>
      </w:r>
    </w:p>
    <w:p w:rsidR="00CD33AD" w:rsidRDefault="00CD33AD">
      <w:pPr>
        <w:widowControl/>
        <w:ind w:left="720" w:firstLine="567"/>
        <w:contextualSpacing/>
        <w:rPr>
          <w:rFonts w:ascii="Times New Roman" w:hAnsi="Times New Roman"/>
        </w:rPr>
      </w:pP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 Данный документ является официальным предложением (офертой) Государственного автономного учреждения дополнительного профессионального образования Республики Саха (Якутия) «Институт развития профессионального образования», осуществляющего образовательную деятельность на основании лицензии от 23 ноября 2020 года № 2418, выданной Министерством образования и науки Республики Саха (Якутия), именуемого в дальнейшем «Исполнитель», в лице директора Ивановой Лилии Михайловны, действующего на основании Устава, и содержит все существенные условия договора на уплату взносов.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 В соответствии с п. 2 ст. 437 Гражданского Кодекса Российской Федерации (далее – ГК РФ) в случае принятия изложенных ниже условий и оплаты услуг, физическое или юридическое лицо производящее акцепт этой оферты, становится «Заказчиком», а Исполнитель и Заказчик совместно - «Сторонами» настоящего договора-оферты. 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 Акцептом условий, изложенных в настоящем Договоре-оферты, является факт оплаты. Датой акцепта является дата поступления денежных средств на счет Исполнителя.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Акцепт оферты означает, что Заказчик согласен со всеми положениями настоящей оферты и обязуется им следовать. С момента акцепта Заказчиком настоящей оферты данная оферта считается договором об уплате взносов на условиях, установленных в настоящей оферте (далее – Договор).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 В настоящей оферте, если контекст не требует иного, нижеприведенные термины имеют следующие значения: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«Оферта» – публичное предложение Исполнителя, адресованное любому физическому лицу (гражданину) или юридическому лицу, заключить с ним договор оказания услуг (далее - «Договор») на существующих условиях, содержащихся в Договоре, включая все его приложения. 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«Акцепт» – полное и безоговорочное принятие Заказчиком условий Договора. 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«Сайт» - официальный интернет-портал Исполнителя </w:t>
      </w:r>
      <w:hyperlink r:id="rId8" w:history="1">
        <w:r>
          <w:rPr>
            <w:rFonts w:ascii="Times New Roman" w:hAnsi="Times New Roman"/>
            <w:color w:val="0563C1"/>
            <w:u w:val="single"/>
          </w:rPr>
          <w:t>https://irposakha14.ru/</w:t>
        </w:r>
      </w:hyperlink>
      <w:r>
        <w:rPr>
          <w:rFonts w:ascii="Times New Roman" w:hAnsi="Times New Roman"/>
        </w:rPr>
        <w:t xml:space="preserve"> </w:t>
      </w: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Предмет договора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Исполнитель оказывает услуги в соответствии с перечнем услуг и действующим прейскурантом цен, опубликованным на Сайте Исполнителя. 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Заказчик производит оплату и получает услуги в соответствии с условиями настоящего Договора. 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2.3. Настоящий Договор и его Приложения являются официальным документом Исполнителя и неотъемлемой частью Оферты. Действующая версия настоящего договора размещена на Сайте Исполнителя.</w:t>
      </w: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Права и обязанности Сторон договора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Исполнитель обязуется: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3.1.1. Оказать услуги надлежащего качества.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3.1.2. Представлять по требованию Заказчика информацию о ходе исполнения оказываемых услуг.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3.1.3. Безвозмездно устранять по требованию Заказчика все выявленные недостатки, если в процессе оказания услуг Исполнитель допустил отступление от условий договора, ухудшившее их качество.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3.2. Исполнитель вправе получать от Заказчика разъяснения по всем вопросам, возникающим в ходе оказания услуг, и любую дополнительную информацию, необходимую для выполнения своих обязательств по настоящему договору.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Заказчик обязуется: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3.3.1. Предоставлять Исполнителю все документы, информацию необходимые для выполнения Исполнителем своих обязательств по настоящему договору.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3.3.2. Принять оказанные услуги.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3.3.3. Своевременно оплачивать оказанные услуги в порядке, предусмотренном разделом 4 настоящего договора.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3.3.4. При получении пароля или логина не сообщать третьим лицам, указанные им при регистрации на сайте, а также незамедлительно сообщить Исполнителю о возникновении подозрений относительно безопасности его логина и пароля.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Заказчик вправе: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3.4.1. Получать от Исполнителя объяснения по вопросам, возникающим в ходе исполнения обязательств по настоящему договору.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3.4.2. Заказчик вправе предъявить требование к Исполнителю о возврате суммы произведенной им предварительной оплаты услуги. Исполнитель возвращает сумму полученной им предварительной оплаты услуги в течение десяти календарных дней со дня предъявления Заказчиком такого требования при одновременном наличии следующих условий: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 случае, когда невозможность исполнения возникла по обстоятельствам, за которые ни одна из Сторон не отвечает;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Заказчик направил Исполнителю уведомление об отказе от исполнения договора возмездного оказания услуг с указанием обязательства невозможности оказания услуги.</w:t>
      </w: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Условия оказания и порядок оплаты услуг.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Заказчик производит Акцепт Оферты путем предоплаты услуг Исполнителя, в отношении которых заключается Договор Оферты. 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Оплата производится Заказчиком в рублях Российской Федерации в безналичной форме путем перечисления денежных средств на лицевой счет Исполнителя в полном размере в порядке 100% предоплаты.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Датой оплаты считается дата поступления денежных средств на лицевой счет Исполнителя.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>
        <w:rPr>
          <w:rFonts w:ascii="Times New Roman" w:hAnsi="Times New Roman"/>
          <w:b/>
        </w:rPr>
        <w:t>Стоимость Договора-оферты составляет 5000,00 (пять тысяча) рублей 00 копеек</w:t>
      </w:r>
      <w:r>
        <w:rPr>
          <w:rFonts w:ascii="Times New Roman" w:hAnsi="Times New Roman"/>
        </w:rPr>
        <w:t>, НДС не облагается на основании п.1 ст.145 Налогового кодекса Российской Федерации.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4.5. Заказчик самостоятельно оплачивает услуги банков и систем электронных платежей, связанные с перечислением денежных средств на счет Исполнителя. 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4.6. Заказчик самостоятельно несет ответственность за правильность производимых им платежей. 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4.7. Настоящий Договор действует до даты окончания мероприятия, согласно приказу или положения указанный на Сайте Исполнителя, или до даты подписания акта оба оказании услуг, а в части расчетов до полного исполнения сторонами обязательств по договору.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4.8. В случае, если в течение 5 (пяти) рабочих дней после окончания даты мероприятия от Заказчика не поступит претензий, услуги считаются надлежащим образом оказанными Исполнителем и принятыми Заказчиком.</w:t>
      </w: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Ответственность Сторон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За неисполнение или ненадлежащее исполнение своих обязательств, установленных настоящим Договором-оферты, Заказчик и Исполнитель несут ответственность в соответствии с действующим законодательством Российской Федерации.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 За неисполнение или ненадлежащее исполнение Исполнителем обязательств, предусмотренных Договором-оферты, за исключением просрочки исполнения </w:t>
      </w:r>
      <w:r>
        <w:rPr>
          <w:rFonts w:ascii="Times New Roman" w:hAnsi="Times New Roman"/>
        </w:rPr>
        <w:lastRenderedPageBreak/>
        <w:t>обязательств, предусмотренных Договором-оферты, размер штрафа устанавливается в виде фиксированной суммы 10 процентов Цены Договора-оферты.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Пеня начисляется за каждый день просрочки исполнения Исполнителем обязательства, предусмотренного Договором-офертой, в размере одной трехсотой действующей на дату уплаты пени ключевой ставки Центрального банка Российской Федерации от цены договора-оферты, уменьшенной на сумму, пропорциональную объему обязательств, предусмотренных Договором-офертой и фактически исполненных Исполнителем.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 Стороны настоящего договора-оферты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5.5. Уплата Исполнителем неустойки или применение иной формы ответственности не освобождает его от исполнения обязательств по-настоящему Договору-оферты.</w:t>
      </w: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Прочие условия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 Акцептом настоящей Оферты Заказчик подтверждает, что он предоставил Исполнителю согласие на обработку контактных сведений Заказчика, информация о котором предоставляется Исполнителю. Указанные сведения могут включать: ФИО, номер рабочего и \ или иного контактного телефона, занимаемую должность, адрес электронной почты и почтовый адрес, дату рождения, паспортные данные (в случае если эти данные нужны с целью идентификации Заказчика), а также иную информацию (далее – Персональные данные). Персональные данные могут быть для целей обработки занесены в электронную базу данных Исполнителя, содержащую данные лиц, зарегистрировавшихся на портале, для эффективного использования и обеспечения большей конфиденциальности. Персональные данные могут обрабатываться (собираться, храниться, обезличиваться, распространяться (включая трансграничную передачу), накапливаться, систематизироваться, копироваться, уточняться (обновляться, изменяться), блокироваться и уничтожаться) для целей направления Заказчиком информации о конференциях и мероприятиях Исполнителя и иной относящейся к Исполнителю информации, а также для установления личных контактов с Заказчиком в целях администрирования его участия в мероприятиях, организуемых Исполнителем. 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 Согласие Заказчика на обработку персональных данных действует со дня заключения настоящего Договора, истекает спустя 5 (пять) лет с момента прекращения оказания Услуг по настоящему Договору, за исключением случаев обработки таких данных в целях статистического, бухгалтерского учета и отчетности, срок обработки которых составляет 75 (семьдесят пять) лет после расторжения настоящего Договора.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Исполнитель не несет ответственности за невозможность Заказчиком получить доступ к порталу по причинам, связанным с нарушением работы Интернет-канала, оборудования или программного обеспечения Заказчика. 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Не вступая в противоречие с условиями Оферты, Заказчик и Исполнитель вправе в любое время оформить Договор на оказание услуг в форме письменного двухстороннего документа.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6.5. Любые уведомления по Договору-оферты могут направляться одной Стороной другой Стороне: 1) по электронной почте; а) на адрес электронной почты Заказчика; б) на адрес электронной почты Исполнителя, указанный в разделе «Реквизиты» настоящей Оферты; 2) почтой с уведомлением о вручении или курьерской службой с подтверждением доставки. </w:t>
      </w: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Форс-Мажор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Ни одна из Сторон не несет ответственности в случае невыполнения, несвоевременного или ненадлежащего выполнения ею какого-либо ее обязательства по настоящему Договору, если указанное невыполнение, несвоевременное или ненадлежащее выполнение обусловлены исключительно наступлением или действием обстоятельств непреодолимой силы, а именно пожар, наводнение, землетрясение, военные действия, гражданские волнения и т.д.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7.2. Затронутая обстоятельствами непреодолимой силы Сторона без промедления, но не позднее чем через 10 (десять) банковских дней после наступления обстоятельств непреодолимой силы, в письменной форме информирует другую Сторону, с обратным уведомлением о получении сообщения, об этих обстоятельствах и об их последствиях, и принимает все возможные меры с целью максимального ограничения отрицательных последствий, вызванных указанными обстоятельствами непреодолимой силы.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 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7.4. Если обстоятельства непреодолимой силы или их последствия будут длиться более 1 (одного) месяца, то Стороны обсудят, какие меры следует принять для продолжения Договора.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7.5. Если Стороны не смогут прийти к соглашению в течение 2 (двух) недель, тогда каждая из Сторон вправе расторгнуть настоящий Договор.</w:t>
      </w:r>
    </w:p>
    <w:p w:rsidR="00CD33AD" w:rsidRDefault="002623EB">
      <w:pPr>
        <w:widowControl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7.6. Освобождение обязанной Стороны от ответственности за неисполнение, несвоевременное или ненадлежащее исполнение какого-либо неисполнимого обязательства по настоящему Договору не влечет освобождение этой Стороны от ответственности за исполнение иных ее обязательств, не признанных Сторонами не исполнимыми по настоящему Договору.</w:t>
      </w: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</w:rPr>
      </w:pP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</w:rPr>
      </w:pPr>
    </w:p>
    <w:p w:rsidR="00CD33AD" w:rsidRDefault="00CD33AD">
      <w:pPr>
        <w:widowControl/>
        <w:ind w:firstLine="567"/>
        <w:contextualSpacing/>
        <w:jc w:val="center"/>
        <w:rPr>
          <w:rFonts w:ascii="Times New Roman" w:hAnsi="Times New Roman"/>
        </w:rPr>
      </w:pPr>
    </w:p>
    <w:p w:rsidR="00CD33AD" w:rsidRDefault="002623EB">
      <w:pPr>
        <w:widowControl/>
        <w:ind w:firstLine="567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8. Реквизиты Исполнителя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12"/>
        <w:gridCol w:w="4673"/>
      </w:tblGrid>
      <w:tr w:rsidR="00CD33AD"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33AD" w:rsidRDefault="002623EB">
            <w:r>
              <w:t>ГАУ ДПО РС (Я) "Институт развития профессионального образования"</w:t>
            </w:r>
          </w:p>
          <w:p w:rsidR="00CD33AD" w:rsidRDefault="002623EB">
            <w:r>
              <w:t>Адрес: Республика Саха (Якутия), 677018, г. Якутск, ул. Крупской, д. 13</w:t>
            </w:r>
          </w:p>
          <w:p w:rsidR="00CD33AD" w:rsidRDefault="002623EB">
            <w:r>
              <w:t>ИНН 1435234133 КПП 143501001</w:t>
            </w:r>
          </w:p>
          <w:p w:rsidR="00CD33AD" w:rsidRDefault="002623EB">
            <w:r>
              <w:t>р/с №03224643980000001601</w:t>
            </w:r>
          </w:p>
          <w:p w:rsidR="00CD33AD" w:rsidRDefault="002623EB">
            <w:r>
              <w:t>к/с 40102810345370000085</w:t>
            </w:r>
          </w:p>
          <w:p w:rsidR="00CD33AD" w:rsidRDefault="002623EB">
            <w:r>
              <w:t>Банк: Операционно-кассовый центр №6 Дальневосточного главного управления Центрального банка Российской Федерации//УФК по Республике Саха (Якутия)</w:t>
            </w:r>
          </w:p>
          <w:p w:rsidR="00CD33AD" w:rsidRDefault="002623EB">
            <w:r>
              <w:t>БИК 019805001</w:t>
            </w:r>
          </w:p>
          <w:p w:rsidR="00CD33AD" w:rsidRDefault="002623EB">
            <w:r>
              <w:t>л/с 30075035012</w:t>
            </w:r>
          </w:p>
          <w:p w:rsidR="00CD33AD" w:rsidRDefault="002623EB">
            <w:r>
              <w:t xml:space="preserve">Адрес электронной почты: irpo@gov14.ru 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3AD" w:rsidRDefault="00CD33AD">
            <w:pPr>
              <w:widowControl/>
              <w:ind w:firstLine="567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  <w:p w:rsidR="00CD33AD" w:rsidRDefault="002623EB">
            <w:pPr>
              <w:widowControl/>
              <w:ind w:firstLine="567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2095500" cy="2143125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0"/>
                            <a:ext cx="209550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33AD" w:rsidRDefault="002623EB">
            <w:pPr>
              <w:widowControl/>
              <w:ind w:firstLine="567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QR – код банковских реквизитов:</w:t>
            </w:r>
          </w:p>
        </w:tc>
      </w:tr>
    </w:tbl>
    <w:p w:rsidR="00CD33AD" w:rsidRDefault="00CD33AD">
      <w:pPr>
        <w:rPr>
          <w:rFonts w:ascii="Times New Roman" w:hAnsi="Times New Roman"/>
        </w:rPr>
      </w:pPr>
    </w:p>
    <w:p w:rsidR="00CD33AD" w:rsidRDefault="00CD33AD"/>
    <w:p w:rsidR="00CD33AD" w:rsidRDefault="00CD33AD">
      <w:pPr>
        <w:widowControl/>
        <w:spacing w:after="240"/>
        <w:contextualSpacing/>
        <w:jc w:val="both"/>
        <w:rPr>
          <w:rFonts w:ascii="Times New Roman" w:hAnsi="Times New Roman"/>
          <w:sz w:val="20"/>
        </w:rPr>
      </w:pPr>
    </w:p>
    <w:p w:rsidR="00CD33AD" w:rsidRDefault="00CD33AD">
      <w:pPr>
        <w:widowControl/>
        <w:spacing w:after="240"/>
        <w:contextualSpacing/>
        <w:jc w:val="both"/>
        <w:rPr>
          <w:rFonts w:ascii="Times New Roman" w:hAnsi="Times New Roman"/>
          <w:sz w:val="20"/>
        </w:rPr>
      </w:pPr>
    </w:p>
    <w:p w:rsidR="00CD33AD" w:rsidRDefault="00CD33AD">
      <w:pPr>
        <w:widowControl/>
        <w:spacing w:after="240"/>
        <w:contextualSpacing/>
        <w:jc w:val="right"/>
        <w:rPr>
          <w:rFonts w:ascii="Times New Roman" w:hAnsi="Times New Roman"/>
          <w:i/>
          <w:sz w:val="22"/>
        </w:rPr>
      </w:pPr>
    </w:p>
    <w:p w:rsidR="00CD33AD" w:rsidRDefault="00CD33AD">
      <w:pPr>
        <w:widowControl/>
        <w:spacing w:after="240"/>
        <w:contextualSpacing/>
        <w:jc w:val="right"/>
        <w:rPr>
          <w:rFonts w:ascii="Times New Roman" w:hAnsi="Times New Roman"/>
          <w:i/>
          <w:sz w:val="22"/>
        </w:rPr>
      </w:pPr>
    </w:p>
    <w:p w:rsidR="00CD33AD" w:rsidRDefault="00CD33AD">
      <w:pPr>
        <w:widowControl/>
        <w:spacing w:after="240"/>
        <w:contextualSpacing/>
        <w:jc w:val="right"/>
        <w:rPr>
          <w:rFonts w:ascii="Times New Roman" w:hAnsi="Times New Roman"/>
          <w:i/>
          <w:sz w:val="22"/>
        </w:rPr>
      </w:pPr>
    </w:p>
    <w:p w:rsidR="00CD33AD" w:rsidRDefault="00CD33AD">
      <w:pPr>
        <w:widowControl/>
        <w:spacing w:after="240"/>
        <w:contextualSpacing/>
        <w:jc w:val="right"/>
        <w:rPr>
          <w:rFonts w:ascii="Times New Roman" w:hAnsi="Times New Roman"/>
          <w:i/>
          <w:sz w:val="22"/>
        </w:rPr>
      </w:pPr>
    </w:p>
    <w:p w:rsidR="00CD33AD" w:rsidRDefault="00CD33AD">
      <w:pPr>
        <w:widowControl/>
        <w:spacing w:after="240"/>
        <w:contextualSpacing/>
        <w:jc w:val="right"/>
        <w:rPr>
          <w:rFonts w:ascii="Times New Roman" w:hAnsi="Times New Roman"/>
          <w:i/>
          <w:sz w:val="22"/>
        </w:rPr>
      </w:pPr>
    </w:p>
    <w:p w:rsidR="00CD33AD" w:rsidRDefault="00CD33AD">
      <w:pPr>
        <w:widowControl/>
        <w:spacing w:after="240"/>
        <w:contextualSpacing/>
        <w:jc w:val="both"/>
        <w:rPr>
          <w:rFonts w:ascii="Times New Roman" w:hAnsi="Times New Roman"/>
          <w:sz w:val="20"/>
        </w:rPr>
      </w:pPr>
    </w:p>
    <w:sectPr w:rsidR="00CD33AD">
      <w:footerReference w:type="default" r:id="rId10"/>
      <w:pgSz w:w="11906" w:h="16838"/>
      <w:pgMar w:top="851" w:right="849" w:bottom="993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1B0" w:rsidRDefault="00DF01B0">
      <w:r>
        <w:separator/>
      </w:r>
    </w:p>
  </w:endnote>
  <w:endnote w:type="continuationSeparator" w:id="0">
    <w:p w:rsidR="00DF01B0" w:rsidRDefault="00DF0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3AD" w:rsidRDefault="00CD33AD">
    <w:pPr>
      <w:pStyle w:val="afb"/>
    </w:pPr>
  </w:p>
  <w:p w:rsidR="00CD33AD" w:rsidRDefault="00CD33AD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1B0" w:rsidRDefault="00DF01B0">
      <w:r>
        <w:separator/>
      </w:r>
    </w:p>
  </w:footnote>
  <w:footnote w:type="continuationSeparator" w:id="0">
    <w:p w:rsidR="00DF01B0" w:rsidRDefault="00DF0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F0220"/>
    <w:multiLevelType w:val="multilevel"/>
    <w:tmpl w:val="6BBED6B8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>
    <w:nsid w:val="0FFD1FB1"/>
    <w:multiLevelType w:val="multilevel"/>
    <w:tmpl w:val="2592B25C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decimal"/>
      <w:lvlText w:val="%1.%2."/>
      <w:lvlJc w:val="left"/>
      <w:pPr>
        <w:widowControl/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widowControl/>
        <w:ind w:left="1800" w:hanging="720"/>
      </w:pPr>
    </w:lvl>
    <w:lvl w:ilvl="3">
      <w:start w:val="1"/>
      <w:numFmt w:val="decimal"/>
      <w:lvlText w:val="%1.%2.%3.%4."/>
      <w:lvlJc w:val="left"/>
      <w:pPr>
        <w:widowControl/>
        <w:ind w:left="2160" w:hanging="720"/>
      </w:pPr>
    </w:lvl>
    <w:lvl w:ilvl="4">
      <w:start w:val="1"/>
      <w:numFmt w:val="decimal"/>
      <w:lvlText w:val="%1.%2.%3.%4.%5."/>
      <w:lvlJc w:val="left"/>
      <w:pPr>
        <w:widowControl/>
        <w:ind w:left="2880" w:hanging="1080"/>
      </w:pPr>
    </w:lvl>
    <w:lvl w:ilvl="5">
      <w:start w:val="1"/>
      <w:numFmt w:val="decimal"/>
      <w:lvlText w:val="%1.%2.%3.%4.%5.%6."/>
      <w:lvlJc w:val="left"/>
      <w:pPr>
        <w:widowControl/>
        <w:ind w:left="3240" w:hanging="1080"/>
      </w:pPr>
    </w:lvl>
    <w:lvl w:ilvl="6">
      <w:start w:val="1"/>
      <w:numFmt w:val="decimal"/>
      <w:lvlText w:val="%1.%2.%3.%4.%5.%6.%7."/>
      <w:lvlJc w:val="left"/>
      <w:pPr>
        <w:widowControl/>
        <w:ind w:left="3960" w:hanging="1440"/>
      </w:pPr>
    </w:lvl>
    <w:lvl w:ilvl="7">
      <w:start w:val="1"/>
      <w:numFmt w:val="decimal"/>
      <w:lvlText w:val="%1.%2.%3.%4.%5.%6.%7.%8."/>
      <w:lvlJc w:val="left"/>
      <w:pPr>
        <w:widowControl/>
        <w:ind w:left="4320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5040" w:hanging="1800"/>
      </w:pPr>
    </w:lvl>
  </w:abstractNum>
  <w:abstractNum w:abstractNumId="2">
    <w:nsid w:val="7B606561"/>
    <w:multiLevelType w:val="multilevel"/>
    <w:tmpl w:val="260853EC"/>
    <w:lvl w:ilvl="0">
      <w:start w:val="3"/>
      <w:numFmt w:val="decimal"/>
      <w:lvlText w:val="%1."/>
      <w:lvlJc w:val="left"/>
      <w:pPr>
        <w:widowControl/>
        <w:ind w:left="720" w:hanging="360"/>
      </w:pPr>
    </w:lvl>
    <w:lvl w:ilvl="1">
      <w:start w:val="2"/>
      <w:numFmt w:val="decimal"/>
      <w:lvlText w:val="%1.%2."/>
      <w:lvlJc w:val="left"/>
      <w:pPr>
        <w:widowControl/>
        <w:ind w:left="1254" w:hanging="720"/>
      </w:pPr>
    </w:lvl>
    <w:lvl w:ilvl="2">
      <w:start w:val="1"/>
      <w:numFmt w:val="decimal"/>
      <w:lvlText w:val="%1.%2.%3."/>
      <w:lvlJc w:val="left"/>
      <w:pPr>
        <w:widowControl/>
        <w:ind w:left="1428" w:hanging="720"/>
      </w:pPr>
    </w:lvl>
    <w:lvl w:ilvl="3">
      <w:start w:val="1"/>
      <w:numFmt w:val="decimal"/>
      <w:lvlText w:val="%1.%2.%3.%4."/>
      <w:lvlJc w:val="left"/>
      <w:pPr>
        <w:widowControl/>
        <w:ind w:left="1962" w:hanging="1080"/>
      </w:pPr>
    </w:lvl>
    <w:lvl w:ilvl="4">
      <w:start w:val="1"/>
      <w:numFmt w:val="decimal"/>
      <w:lvlText w:val="%1.%2.%3.%4.%5."/>
      <w:lvlJc w:val="left"/>
      <w:pPr>
        <w:widowControl/>
        <w:ind w:left="2136" w:hanging="1080"/>
      </w:pPr>
    </w:lvl>
    <w:lvl w:ilvl="5">
      <w:start w:val="1"/>
      <w:numFmt w:val="decimal"/>
      <w:lvlText w:val="%1.%2.%3.%4.%5.%6."/>
      <w:lvlJc w:val="left"/>
      <w:pPr>
        <w:widowControl/>
        <w:ind w:left="2670" w:hanging="1440"/>
      </w:pPr>
    </w:lvl>
    <w:lvl w:ilvl="6">
      <w:start w:val="1"/>
      <w:numFmt w:val="decimal"/>
      <w:lvlText w:val="%1.%2.%3.%4.%5.%6.%7."/>
      <w:lvlJc w:val="left"/>
      <w:pPr>
        <w:widowControl/>
        <w:ind w:left="2844" w:hanging="1440"/>
      </w:pPr>
    </w:lvl>
    <w:lvl w:ilvl="7">
      <w:start w:val="1"/>
      <w:numFmt w:val="decimal"/>
      <w:lvlText w:val="%1.%2.%3.%4.%5.%6.%7.%8."/>
      <w:lvlJc w:val="left"/>
      <w:pPr>
        <w:widowControl/>
        <w:ind w:left="3378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3552" w:hanging="18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AD"/>
    <w:rsid w:val="002623EB"/>
    <w:rsid w:val="00290714"/>
    <w:rsid w:val="00CD33AD"/>
    <w:rsid w:val="00D028D8"/>
    <w:rsid w:val="00D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EB575F-68D2-40C9-B04B-BB84F6B5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Times New Roman" w:hAnsi="Liberation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  <w:rPr>
      <w:color w:val="00000A"/>
    </w:rPr>
  </w:style>
  <w:style w:type="paragraph" w:styleId="10">
    <w:name w:val="heading 1"/>
    <w:basedOn w:val="a"/>
    <w:link w:val="11"/>
    <w:uiPriority w:val="9"/>
    <w:qFormat/>
    <w:pPr>
      <w:keepNext/>
      <w:keepLines/>
      <w:widowControl/>
      <w:spacing w:before="480"/>
      <w:outlineLvl w:val="0"/>
    </w:pPr>
    <w:rPr>
      <w:rFonts w:ascii="Cambria" w:hAnsi="Cambria"/>
      <w:b/>
      <w:color w:val="365F91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A"/>
    </w:rPr>
  </w:style>
  <w:style w:type="paragraph" w:styleId="a3">
    <w:name w:val="Body Text"/>
    <w:basedOn w:val="a"/>
    <w:link w:val="a4"/>
    <w:pPr>
      <w:widowControl/>
      <w:spacing w:after="140" w:line="288" w:lineRule="auto"/>
    </w:pPr>
  </w:style>
  <w:style w:type="character" w:customStyle="1" w:styleId="a4">
    <w:name w:val="Основной текст Знак"/>
    <w:basedOn w:val="1"/>
    <w:link w:val="a3"/>
    <w:rPr>
      <w:color w:val="00000A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Название1"/>
    <w:basedOn w:val="a"/>
    <w:link w:val="13"/>
    <w:pPr>
      <w:widowControl/>
      <w:spacing w:before="120" w:after="120"/>
    </w:pPr>
    <w:rPr>
      <w:i/>
    </w:rPr>
  </w:style>
  <w:style w:type="character" w:customStyle="1" w:styleId="13">
    <w:name w:val="Название1"/>
    <w:basedOn w:val="1"/>
    <w:link w:val="12"/>
    <w:rPr>
      <w:i/>
      <w:color w:val="00000A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widowControl/>
      <w:ind w:left="720"/>
      <w:contextualSpacing/>
    </w:pPr>
  </w:style>
  <w:style w:type="character" w:customStyle="1" w:styleId="a6">
    <w:name w:val="Абзац списка Знак"/>
    <w:basedOn w:val="1"/>
    <w:link w:val="a5"/>
    <w:rPr>
      <w:color w:val="00000A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Гиперссылка1"/>
    <w:basedOn w:val="15"/>
    <w:link w:val="16"/>
    <w:rPr>
      <w:color w:val="0000FF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000FF" w:themeColor="hyperlink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8">
    <w:name w:val="Обычный1"/>
    <w:link w:val="19"/>
    <w:rPr>
      <w:color w:val="00000A"/>
    </w:rPr>
  </w:style>
  <w:style w:type="character" w:customStyle="1" w:styleId="19">
    <w:name w:val="Обычный1"/>
    <w:link w:val="18"/>
    <w:rPr>
      <w:color w:val="00000A"/>
    </w:rPr>
  </w:style>
  <w:style w:type="paragraph" w:styleId="a7">
    <w:name w:val="List"/>
    <w:basedOn w:val="a3"/>
    <w:link w:val="a8"/>
  </w:style>
  <w:style w:type="character" w:customStyle="1" w:styleId="a8">
    <w:name w:val="Список Знак"/>
    <w:basedOn w:val="a4"/>
    <w:link w:val="a7"/>
    <w:rPr>
      <w:color w:val="00000A"/>
    </w:rPr>
  </w:style>
  <w:style w:type="paragraph" w:customStyle="1" w:styleId="1a">
    <w:name w:val="Основной шрифт абзаца1"/>
  </w:style>
  <w:style w:type="paragraph" w:customStyle="1" w:styleId="a9">
    <w:name w:val="Таблицы (моноширинный)"/>
    <w:basedOn w:val="a"/>
    <w:next w:val="a"/>
    <w:link w:val="aa"/>
    <w:rPr>
      <w:rFonts w:ascii="Courier New" w:hAnsi="Courier New"/>
      <w:color w:val="000000"/>
    </w:rPr>
  </w:style>
  <w:style w:type="character" w:customStyle="1" w:styleId="aa">
    <w:name w:val="Таблицы (моноширинный)"/>
    <w:basedOn w:val="1"/>
    <w:link w:val="a9"/>
    <w:rPr>
      <w:rFonts w:ascii="Courier New" w:hAnsi="Courier New"/>
      <w:color w:val="000000"/>
    </w:rPr>
  </w:style>
  <w:style w:type="paragraph" w:customStyle="1" w:styleId="ab">
    <w:name w:val="Нижний колонтитул Знак"/>
    <w:basedOn w:val="15"/>
    <w:link w:val="ac"/>
    <w:rPr>
      <w:color w:val="00000A"/>
    </w:rPr>
  </w:style>
  <w:style w:type="character" w:customStyle="1" w:styleId="ac">
    <w:name w:val="Нижний колонтитул Знак"/>
    <w:basedOn w:val="17"/>
    <w:link w:val="ab"/>
    <w:rPr>
      <w:color w:val="00000A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d">
    <w:name w:val="Текст выноски Знак"/>
    <w:basedOn w:val="15"/>
    <w:link w:val="ae"/>
    <w:rPr>
      <w:rFonts w:ascii="Tahoma" w:hAnsi="Tahoma"/>
      <w:color w:val="00000A"/>
      <w:sz w:val="16"/>
    </w:rPr>
  </w:style>
  <w:style w:type="character" w:customStyle="1" w:styleId="ae">
    <w:name w:val="Текст выноски Знак"/>
    <w:basedOn w:val="17"/>
    <w:link w:val="ad"/>
    <w:rPr>
      <w:rFonts w:ascii="Tahoma" w:hAnsi="Tahoma"/>
      <w:color w:val="00000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color w:val="365F91"/>
      <w:sz w:val="28"/>
    </w:rPr>
  </w:style>
  <w:style w:type="paragraph" w:styleId="af">
    <w:name w:val="header"/>
    <w:basedOn w:val="a"/>
    <w:link w:val="1b"/>
    <w:pPr>
      <w:widowControl/>
      <w:tabs>
        <w:tab w:val="center" w:pos="4677"/>
        <w:tab w:val="right" w:pos="9355"/>
      </w:tabs>
    </w:pPr>
  </w:style>
  <w:style w:type="character" w:customStyle="1" w:styleId="1b">
    <w:name w:val="Верхний колонтитул Знак1"/>
    <w:basedOn w:val="1"/>
    <w:link w:val="af"/>
    <w:rPr>
      <w:color w:val="00000A"/>
    </w:rPr>
  </w:style>
  <w:style w:type="paragraph" w:styleId="af0">
    <w:name w:val="index heading"/>
    <w:basedOn w:val="a"/>
    <w:link w:val="af1"/>
  </w:style>
  <w:style w:type="character" w:customStyle="1" w:styleId="af1">
    <w:name w:val="Указатель Знак"/>
    <w:basedOn w:val="1"/>
    <w:link w:val="af0"/>
    <w:rPr>
      <w:color w:val="00000A"/>
    </w:rPr>
  </w:style>
  <w:style w:type="paragraph" w:customStyle="1" w:styleId="23">
    <w:name w:val="Гиперссылка2"/>
    <w:link w:val="af2"/>
    <w:rPr>
      <w:color w:val="0000FF"/>
      <w:u w:val="single"/>
    </w:rPr>
  </w:style>
  <w:style w:type="character" w:styleId="af2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f3">
    <w:name w:val="Верхний колонтитул Знак"/>
    <w:basedOn w:val="15"/>
    <w:link w:val="af4"/>
    <w:rPr>
      <w:color w:val="00000A"/>
    </w:rPr>
  </w:style>
  <w:style w:type="character" w:customStyle="1" w:styleId="af4">
    <w:name w:val="Верхний колонтитул Знак"/>
    <w:basedOn w:val="17"/>
    <w:link w:val="af3"/>
    <w:rPr>
      <w:color w:val="00000A"/>
    </w:rPr>
  </w:style>
  <w:style w:type="paragraph" w:styleId="1c">
    <w:name w:val="toc 1"/>
    <w:next w:val="a"/>
    <w:link w:val="1d"/>
    <w:uiPriority w:val="39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5">
    <w:name w:val="Содержимое таблицы"/>
    <w:basedOn w:val="a"/>
    <w:link w:val="af6"/>
  </w:style>
  <w:style w:type="character" w:customStyle="1" w:styleId="af6">
    <w:name w:val="Содержимое таблицы"/>
    <w:basedOn w:val="1"/>
    <w:link w:val="af5"/>
    <w:rPr>
      <w:color w:val="00000A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7">
    <w:name w:val="Normal (Web)"/>
    <w:basedOn w:val="a"/>
    <w:link w:val="af8"/>
    <w:pPr>
      <w:widowControl/>
      <w:spacing w:beforeAutospacing="1" w:afterAutospacing="1"/>
    </w:pPr>
    <w:rPr>
      <w:rFonts w:ascii="Times New Roman" w:hAnsi="Times New Roman"/>
      <w:color w:val="000000"/>
    </w:rPr>
  </w:style>
  <w:style w:type="character" w:customStyle="1" w:styleId="af8">
    <w:name w:val="Обычный (веб) Знак"/>
    <w:basedOn w:val="1"/>
    <w:link w:val="af7"/>
    <w:rPr>
      <w:rFonts w:ascii="Times New Roman" w:hAnsi="Times New Roman"/>
      <w:color w:val="00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-">
    <w:name w:val="Интернет-ссылка"/>
    <w:basedOn w:val="15"/>
    <w:link w:val="-0"/>
    <w:rPr>
      <w:color w:val="0000FF"/>
      <w:u w:val="single"/>
    </w:rPr>
  </w:style>
  <w:style w:type="character" w:customStyle="1" w:styleId="-0">
    <w:name w:val="Интернет-ссылка"/>
    <w:basedOn w:val="17"/>
    <w:link w:val="-"/>
    <w:rPr>
      <w:color w:val="0000FF"/>
      <w:u w:val="single"/>
    </w:rPr>
  </w:style>
  <w:style w:type="paragraph" w:customStyle="1" w:styleId="af9">
    <w:name w:val="Цветовое выделение"/>
    <w:link w:val="afa"/>
    <w:rPr>
      <w:b/>
      <w:color w:val="26282F"/>
    </w:rPr>
  </w:style>
  <w:style w:type="character" w:customStyle="1" w:styleId="afa">
    <w:name w:val="Цветовое выделение"/>
    <w:link w:val="af9"/>
    <w:rPr>
      <w:b/>
      <w:color w:val="26282F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customStyle="1" w:styleId="formattext">
    <w:name w:val="formattext"/>
    <w:basedOn w:val="a"/>
    <w:link w:val="formattext0"/>
    <w:pPr>
      <w:widowControl/>
      <w:spacing w:beforeAutospacing="1" w:afterAutospacing="1"/>
    </w:pPr>
    <w:rPr>
      <w:rFonts w:ascii="Times New Roman" w:hAnsi="Times New Roman"/>
      <w:color w:val="000000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color w:val="00000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b">
    <w:name w:val="footer"/>
    <w:basedOn w:val="a"/>
    <w:link w:val="1e"/>
    <w:pPr>
      <w:widowControl/>
      <w:tabs>
        <w:tab w:val="center" w:pos="4677"/>
        <w:tab w:val="right" w:pos="9355"/>
      </w:tabs>
    </w:pPr>
  </w:style>
  <w:style w:type="character" w:customStyle="1" w:styleId="1e">
    <w:name w:val="Нижний колонтитул Знак1"/>
    <w:basedOn w:val="1"/>
    <w:link w:val="afb"/>
    <w:rPr>
      <w:color w:val="00000A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</w:rPr>
  </w:style>
  <w:style w:type="character" w:customStyle="1" w:styleId="afd">
    <w:name w:val="Подзаголовок Знак"/>
    <w:link w:val="afc"/>
    <w:rPr>
      <w:rFonts w:ascii="XO Thames" w:hAnsi="XO Thames"/>
      <w:i/>
    </w:rPr>
  </w:style>
  <w:style w:type="paragraph" w:styleId="afe">
    <w:name w:val="Balloon Text"/>
    <w:basedOn w:val="a"/>
    <w:link w:val="1f"/>
    <w:rPr>
      <w:rFonts w:ascii="Tahoma" w:hAnsi="Tahoma"/>
      <w:sz w:val="16"/>
    </w:rPr>
  </w:style>
  <w:style w:type="character" w:customStyle="1" w:styleId="1f">
    <w:name w:val="Текст выноски Знак1"/>
    <w:basedOn w:val="1"/>
    <w:link w:val="afe"/>
    <w:rPr>
      <w:rFonts w:ascii="Tahoma" w:hAnsi="Tahoma"/>
      <w:color w:val="00000A"/>
      <w:sz w:val="16"/>
    </w:rPr>
  </w:style>
  <w:style w:type="paragraph" w:styleId="aff">
    <w:name w:val="Title"/>
    <w:next w:val="a"/>
    <w:link w:val="af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0">
    <w:name w:val="Название Знак"/>
    <w:link w:val="af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</w:rPr>
  </w:style>
  <w:style w:type="paragraph" w:customStyle="1" w:styleId="1f0">
    <w:name w:val="Заголовок1"/>
    <w:basedOn w:val="a"/>
    <w:next w:val="a3"/>
    <w:link w:val="1f1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1f1">
    <w:name w:val="Заголовок1"/>
    <w:basedOn w:val="1"/>
    <w:link w:val="1f0"/>
    <w:rPr>
      <w:rFonts w:ascii="Liberation Sans" w:hAnsi="Liberation Sans"/>
      <w:color w:val="00000A"/>
      <w:sz w:val="28"/>
    </w:rPr>
  </w:style>
  <w:style w:type="paragraph" w:customStyle="1" w:styleId="aff1">
    <w:name w:val="Заглавие"/>
    <w:basedOn w:val="a"/>
    <w:link w:val="aff2"/>
    <w:pPr>
      <w:widowControl/>
      <w:spacing w:before="120" w:after="120"/>
    </w:pPr>
    <w:rPr>
      <w:i/>
    </w:rPr>
  </w:style>
  <w:style w:type="character" w:customStyle="1" w:styleId="aff2">
    <w:name w:val="Заглавие"/>
    <w:basedOn w:val="1"/>
    <w:link w:val="aff1"/>
    <w:rPr>
      <w:i/>
      <w:color w:val="00000A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3">
    <w:name w:val="Заголовок таблицы"/>
    <w:basedOn w:val="af5"/>
    <w:link w:val="aff4"/>
    <w:pPr>
      <w:widowControl/>
      <w:jc w:val="center"/>
    </w:pPr>
    <w:rPr>
      <w:b/>
    </w:rPr>
  </w:style>
  <w:style w:type="character" w:customStyle="1" w:styleId="aff4">
    <w:name w:val="Заголовок таблицы"/>
    <w:basedOn w:val="af6"/>
    <w:link w:val="aff3"/>
    <w:rPr>
      <w:b/>
      <w:color w:val="00000A"/>
    </w:rPr>
  </w:style>
  <w:style w:type="table" w:styleId="af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posakha14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8ff0623f47e73c331c6019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2678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2025-11-06T00:21:00Z</dcterms:created>
  <dcterms:modified xsi:type="dcterms:W3CDTF">2025-11-06T00:35:00Z</dcterms:modified>
</cp:coreProperties>
</file>